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227" w:rsidRPr="008752A0" w:rsidRDefault="00E61227" w:rsidP="00E61227">
      <w:pPr>
        <w:spacing w:line="360" w:lineRule="auto"/>
        <w:jc w:val="both"/>
        <w:rPr>
          <w:rFonts w:ascii="Garamond" w:hAnsi="Garamond"/>
          <w:b/>
          <w:sz w:val="24"/>
          <w:szCs w:val="24"/>
        </w:rPr>
      </w:pPr>
      <w:r w:rsidRPr="008752A0">
        <w:rPr>
          <w:rFonts w:ascii="Garamond" w:hAnsi="Garamond"/>
          <w:b/>
          <w:sz w:val="24"/>
          <w:szCs w:val="24"/>
        </w:rPr>
        <w:t xml:space="preserve">Chart 10: Effects of Travel Advisories on Occupancy of bed Nights by British Visitors </w:t>
      </w:r>
    </w:p>
    <w:p w:rsidR="00F816AF" w:rsidRDefault="00E61227">
      <w:r w:rsidRPr="008752A0">
        <w:rPr>
          <w:rFonts w:ascii="Garamond" w:hAnsi="Garamond"/>
          <w:noProof/>
          <w:sz w:val="24"/>
          <w:szCs w:val="24"/>
        </w:rPr>
        <w:drawing>
          <wp:inline distT="0" distB="0" distL="0" distR="0" wp14:anchorId="6DCAD9C7" wp14:editId="1A119C09">
            <wp:extent cx="5572125" cy="3476625"/>
            <wp:effectExtent l="0" t="0" r="9525" b="9525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61227" w:rsidRDefault="00E61227"/>
    <w:p w:rsidR="00E61227" w:rsidRDefault="00E61227"/>
    <w:p w:rsidR="00E61227" w:rsidRDefault="00E61227" w:rsidP="00E61227">
      <w:pPr>
        <w:spacing w:line="360" w:lineRule="auto"/>
        <w:jc w:val="both"/>
        <w:rPr>
          <w:rFonts w:ascii="Garamond" w:hAnsi="Garamond"/>
          <w:b/>
          <w:sz w:val="24"/>
          <w:szCs w:val="24"/>
        </w:rPr>
      </w:pPr>
      <w:r w:rsidRPr="00E61227">
        <w:rPr>
          <w:rFonts w:ascii="Garamond" w:hAnsi="Garamond"/>
          <w:b/>
          <w:sz w:val="24"/>
          <w:szCs w:val="24"/>
        </w:rPr>
        <w:t>Effect of Travel Advisory for Visitors from the US</w:t>
      </w:r>
    </w:p>
    <w:p w:rsidR="00E61227" w:rsidRPr="00E61227" w:rsidRDefault="00E61227" w:rsidP="00E61227">
      <w:pPr>
        <w:spacing w:line="360" w:lineRule="auto"/>
        <w:jc w:val="both"/>
        <w:rPr>
          <w:rFonts w:ascii="Garamond" w:hAnsi="Garamond"/>
          <w:b/>
          <w:sz w:val="24"/>
          <w:szCs w:val="24"/>
        </w:rPr>
      </w:pPr>
      <w:r w:rsidRPr="008752A0">
        <w:rPr>
          <w:rFonts w:ascii="Garamond" w:hAnsi="Garamond"/>
          <w:noProof/>
          <w:sz w:val="24"/>
          <w:szCs w:val="24"/>
        </w:rPr>
        <w:lastRenderedPageBreak/>
        <w:drawing>
          <wp:inline distT="0" distB="0" distL="0" distR="0" wp14:anchorId="436B9A6C" wp14:editId="120FFF0C">
            <wp:extent cx="5769275" cy="3372928"/>
            <wp:effectExtent l="19050" t="0" r="21925" b="0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61227" w:rsidRDefault="00E61227">
      <w:bookmarkStart w:id="0" w:name="_GoBack"/>
      <w:bookmarkEnd w:id="0"/>
    </w:p>
    <w:sectPr w:rsidR="00E61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D30A56"/>
    <w:multiLevelType w:val="multilevel"/>
    <w:tmpl w:val="9AC2AB4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227"/>
    <w:rsid w:val="00650297"/>
    <w:rsid w:val="008D4237"/>
    <w:rsid w:val="00B81499"/>
    <w:rsid w:val="00E6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D02669-FEEA-4E95-8D0C-10FA69FE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22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Owino\AppData\Local\Microsoft\Windows\Temporary%20Internet%20Files\Content.Outlook\7BMFZUEK\Advisories%20data%20(2)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Owino\AppData\Local\Microsoft\Windows\Temporary%20Internet%20Files\Content.Outlook\7BMFZUEK\Advisories%20data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9368623370591524E-2"/>
          <c:y val="7.7608943791815529E-2"/>
          <c:w val="0.77561533393983506"/>
          <c:h val="0.607753880464341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UK!$A$4</c:f>
              <c:strCache>
                <c:ptCount val="1"/>
                <c:pt idx="0">
                  <c:v>No. of Advisories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trendline>
            <c:spPr>
              <a:ln w="34925">
                <a:tailEnd type="stealth"/>
              </a:ln>
            </c:spPr>
            <c:trendlineType val="linear"/>
            <c:dispRSqr val="0"/>
            <c:dispEq val="0"/>
          </c:trendline>
          <c:cat>
            <c:multiLvlStrRef>
              <c:f>UK!$B$2:$U$3</c:f>
              <c:multiLvlStrCache>
                <c:ptCount val="20"/>
                <c:lvl>
                  <c:pt idx="0">
                    <c:v>2010 (1)</c:v>
                  </c:pt>
                  <c:pt idx="1">
                    <c:v>2010 (2)</c:v>
                  </c:pt>
                  <c:pt idx="2">
                    <c:v>2010(3)</c:v>
                  </c:pt>
                  <c:pt idx="3">
                    <c:v>2010(4)</c:v>
                  </c:pt>
                  <c:pt idx="4">
                    <c:v>2011 (1)</c:v>
                  </c:pt>
                  <c:pt idx="5">
                    <c:v>2011 (2)</c:v>
                  </c:pt>
                  <c:pt idx="6">
                    <c:v>2011 (3)</c:v>
                  </c:pt>
                  <c:pt idx="7">
                    <c:v>2011 (4)</c:v>
                  </c:pt>
                  <c:pt idx="8">
                    <c:v>2012 (1)</c:v>
                  </c:pt>
                  <c:pt idx="9">
                    <c:v>2012 (2)</c:v>
                  </c:pt>
                  <c:pt idx="10">
                    <c:v>2012(3)</c:v>
                  </c:pt>
                  <c:pt idx="11">
                    <c:v>2012 (4)</c:v>
                  </c:pt>
                  <c:pt idx="12">
                    <c:v>2013 (1)</c:v>
                  </c:pt>
                  <c:pt idx="13">
                    <c:v>2013(2)</c:v>
                  </c:pt>
                  <c:pt idx="14">
                    <c:v>2013 (3)</c:v>
                  </c:pt>
                  <c:pt idx="15">
                    <c:v>2013 (4)</c:v>
                  </c:pt>
                  <c:pt idx="16">
                    <c:v>2014 (1)</c:v>
                  </c:pt>
                  <c:pt idx="17">
                    <c:v>2014(2)</c:v>
                  </c:pt>
                  <c:pt idx="18">
                    <c:v>2014(3)</c:v>
                  </c:pt>
                  <c:pt idx="19">
                    <c:v>2014(4)</c:v>
                  </c:pt>
                </c:lvl>
                <c:lvl>
                  <c:pt idx="0">
                    <c:v>YEARLY QUARTERS</c:v>
                  </c:pt>
                </c:lvl>
              </c:multiLvlStrCache>
            </c:multiLvlStrRef>
          </c:cat>
          <c:val>
            <c:numRef>
              <c:f>UK!$B$4:$U$4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1</c:v>
                </c:pt>
                <c:pt idx="15">
                  <c:v>0</c:v>
                </c:pt>
                <c:pt idx="16">
                  <c:v>0</c:v>
                </c:pt>
                <c:pt idx="17">
                  <c:v>1</c:v>
                </c:pt>
                <c:pt idx="18">
                  <c:v>1</c:v>
                </c:pt>
                <c:pt idx="19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31180248"/>
        <c:axId val="431179856"/>
      </c:barChart>
      <c:lineChart>
        <c:grouping val="standard"/>
        <c:varyColors val="0"/>
        <c:ser>
          <c:idx val="1"/>
          <c:order val="1"/>
          <c:tx>
            <c:strRef>
              <c:f>UK!$A$6</c:f>
              <c:strCache>
                <c:ptCount val="1"/>
                <c:pt idx="0">
                  <c:v>Hotel Bed - Nights Occupancy ( in '000)</c:v>
                </c:pt>
              </c:strCache>
            </c:strRef>
          </c:tx>
          <c:dLbls>
            <c:dLbl>
              <c:idx val="19"/>
              <c:layout>
                <c:manualLayout>
                  <c:x val="9.2961487383798145E-3"/>
                  <c:y val="6.145624582498342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trendlineType val="movingAvg"/>
            <c:period val="2"/>
            <c:dispRSqr val="0"/>
            <c:dispEq val="0"/>
          </c:trendline>
          <c:cat>
            <c:multiLvlStrRef>
              <c:f>UK!$B$2:$U$3</c:f>
              <c:multiLvlStrCache>
                <c:ptCount val="20"/>
                <c:lvl>
                  <c:pt idx="0">
                    <c:v>2010 (1)</c:v>
                  </c:pt>
                  <c:pt idx="1">
                    <c:v>2010 (2)</c:v>
                  </c:pt>
                  <c:pt idx="2">
                    <c:v>2010(3)</c:v>
                  </c:pt>
                  <c:pt idx="3">
                    <c:v>2010(4)</c:v>
                  </c:pt>
                  <c:pt idx="4">
                    <c:v>2011 (1)</c:v>
                  </c:pt>
                  <c:pt idx="5">
                    <c:v>2011 (2)</c:v>
                  </c:pt>
                  <c:pt idx="6">
                    <c:v>2011 (3)</c:v>
                  </c:pt>
                  <c:pt idx="7">
                    <c:v>2011 (4)</c:v>
                  </c:pt>
                  <c:pt idx="8">
                    <c:v>2012 (1)</c:v>
                  </c:pt>
                  <c:pt idx="9">
                    <c:v>2012 (2)</c:v>
                  </c:pt>
                  <c:pt idx="10">
                    <c:v>2012(3)</c:v>
                  </c:pt>
                  <c:pt idx="11">
                    <c:v>2012 (4)</c:v>
                  </c:pt>
                  <c:pt idx="12">
                    <c:v>2013 (1)</c:v>
                  </c:pt>
                  <c:pt idx="13">
                    <c:v>2013(2)</c:v>
                  </c:pt>
                  <c:pt idx="14">
                    <c:v>2013 (3)</c:v>
                  </c:pt>
                  <c:pt idx="15">
                    <c:v>2013 (4)</c:v>
                  </c:pt>
                  <c:pt idx="16">
                    <c:v>2014 (1)</c:v>
                  </c:pt>
                  <c:pt idx="17">
                    <c:v>2014(2)</c:v>
                  </c:pt>
                  <c:pt idx="18">
                    <c:v>2014(3)</c:v>
                  </c:pt>
                  <c:pt idx="19">
                    <c:v>2014(4)</c:v>
                  </c:pt>
                </c:lvl>
                <c:lvl>
                  <c:pt idx="0">
                    <c:v>YEARLY QUARTERS</c:v>
                  </c:pt>
                </c:lvl>
              </c:multiLvlStrCache>
            </c:multiLvlStrRef>
          </c:cat>
          <c:val>
            <c:numRef>
              <c:f>UK!$B$6:$U$6</c:f>
              <c:numCache>
                <c:formatCode>General</c:formatCode>
                <c:ptCount val="20"/>
                <c:pt idx="3">
                  <c:v>965</c:v>
                </c:pt>
                <c:pt idx="7">
                  <c:v>766</c:v>
                </c:pt>
                <c:pt idx="11">
                  <c:v>522</c:v>
                </c:pt>
                <c:pt idx="15">
                  <c:v>498</c:v>
                </c:pt>
                <c:pt idx="19">
                  <c:v>275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1178680"/>
        <c:axId val="431176720"/>
      </c:lineChart>
      <c:catAx>
        <c:axId val="431180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1179856"/>
        <c:crosses val="autoZero"/>
        <c:auto val="1"/>
        <c:lblAlgn val="ctr"/>
        <c:lblOffset val="100"/>
        <c:noMultiLvlLbl val="0"/>
      </c:catAx>
      <c:valAx>
        <c:axId val="431179856"/>
        <c:scaling>
          <c:orientation val="minMax"/>
          <c:max val="4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/>
                </a:pPr>
                <a:r>
                  <a:rPr lang="en-US" sz="1200"/>
                  <a:t>No. of  Travel Advisories</a:t>
                </a:r>
              </a:p>
            </c:rich>
          </c:tx>
          <c:layout>
            <c:manualLayout>
              <c:xMode val="edge"/>
              <c:yMode val="edge"/>
              <c:x val="3.2426750432305415E-3"/>
              <c:y val="0.1469993884518478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31180248"/>
        <c:crosses val="autoZero"/>
        <c:crossBetween val="between"/>
        <c:majorUnit val="1"/>
        <c:minorUnit val="1"/>
      </c:valAx>
      <c:valAx>
        <c:axId val="431176720"/>
        <c:scaling>
          <c:orientation val="minMax"/>
        </c:scaling>
        <c:delete val="0"/>
        <c:axPos val="r"/>
        <c:title>
          <c:tx>
            <c:rich>
              <a:bodyPr rot="5400000" vert="horz"/>
              <a:lstStyle/>
              <a:p>
                <a:pPr>
                  <a:defRPr sz="1200"/>
                </a:pPr>
                <a:r>
                  <a:rPr lang="en-US" sz="1200"/>
                  <a:t>Hotel Bed-Nights Occupancy, (in '000) for 4 quarters in each year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431178680"/>
        <c:crosses val="max"/>
        <c:crossBetween val="between"/>
      </c:valAx>
      <c:catAx>
        <c:axId val="431178680"/>
        <c:scaling>
          <c:orientation val="minMax"/>
        </c:scaling>
        <c:delete val="0"/>
        <c:axPos val="t"/>
        <c:numFmt formatCode="General" sourceLinked="1"/>
        <c:majorTickMark val="none"/>
        <c:minorTickMark val="none"/>
        <c:tickLblPos val="none"/>
        <c:crossAx val="431176720"/>
        <c:crosses val="max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2.547270236638749E-2"/>
          <c:y val="0.94901025147408058"/>
          <c:w val="0.94639844820194252"/>
          <c:h val="4.831773783788109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8166879288238197E-2"/>
          <c:y val="9.4450379867046769E-2"/>
          <c:w val="0.77561533393983595"/>
          <c:h val="0.607753880464341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USA!$A$4</c:f>
              <c:strCache>
                <c:ptCount val="1"/>
                <c:pt idx="0">
                  <c:v>No. of Advisories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trendline>
            <c:spPr>
              <a:ln w="34925">
                <a:tailEnd type="stealth"/>
              </a:ln>
            </c:spPr>
            <c:trendlineType val="linear"/>
            <c:dispRSqr val="0"/>
            <c:dispEq val="0"/>
          </c:trendline>
          <c:cat>
            <c:multiLvlStrRef>
              <c:f>USA!$B$2:$U$3</c:f>
              <c:multiLvlStrCache>
                <c:ptCount val="20"/>
                <c:lvl>
                  <c:pt idx="0">
                    <c:v>2010 (1)</c:v>
                  </c:pt>
                  <c:pt idx="1">
                    <c:v>2010 (2)</c:v>
                  </c:pt>
                  <c:pt idx="2">
                    <c:v>2010(3)</c:v>
                  </c:pt>
                  <c:pt idx="3">
                    <c:v>2010(4)</c:v>
                  </c:pt>
                  <c:pt idx="4">
                    <c:v>2011 (1)</c:v>
                  </c:pt>
                  <c:pt idx="5">
                    <c:v>2011 (2)</c:v>
                  </c:pt>
                  <c:pt idx="6">
                    <c:v>2011 (3)</c:v>
                  </c:pt>
                  <c:pt idx="7">
                    <c:v>2011 (4)</c:v>
                  </c:pt>
                  <c:pt idx="8">
                    <c:v>2012 (1)</c:v>
                  </c:pt>
                  <c:pt idx="9">
                    <c:v>2012 (2)</c:v>
                  </c:pt>
                  <c:pt idx="10">
                    <c:v>2012(3)</c:v>
                  </c:pt>
                  <c:pt idx="11">
                    <c:v>2012 (4)</c:v>
                  </c:pt>
                  <c:pt idx="12">
                    <c:v>2013 (1)</c:v>
                  </c:pt>
                  <c:pt idx="13">
                    <c:v>2013(2)</c:v>
                  </c:pt>
                  <c:pt idx="14">
                    <c:v>2013 (3)</c:v>
                  </c:pt>
                  <c:pt idx="15">
                    <c:v>2013 (4)</c:v>
                  </c:pt>
                  <c:pt idx="16">
                    <c:v>2014 (1)</c:v>
                  </c:pt>
                  <c:pt idx="17">
                    <c:v>2014(2)</c:v>
                  </c:pt>
                  <c:pt idx="18">
                    <c:v>2014(3)</c:v>
                  </c:pt>
                  <c:pt idx="19">
                    <c:v>2014(4)</c:v>
                  </c:pt>
                </c:lvl>
                <c:lvl>
                  <c:pt idx="0">
                    <c:v>YEARLY QUARTERS</c:v>
                  </c:pt>
                </c:lvl>
              </c:multiLvlStrCache>
            </c:multiLvlStrRef>
          </c:cat>
          <c:val>
            <c:numRef>
              <c:f>USA!$B$4:$U$4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0</c:v>
                </c:pt>
                <c:pt idx="9">
                  <c:v>1</c:v>
                </c:pt>
                <c:pt idx="10">
                  <c:v>2</c:v>
                </c:pt>
                <c:pt idx="11">
                  <c:v>0</c:v>
                </c:pt>
                <c:pt idx="12">
                  <c:v>1</c:v>
                </c:pt>
                <c:pt idx="13">
                  <c:v>0</c:v>
                </c:pt>
                <c:pt idx="14">
                  <c:v>2</c:v>
                </c:pt>
                <c:pt idx="15">
                  <c:v>0</c:v>
                </c:pt>
                <c:pt idx="16">
                  <c:v>0</c:v>
                </c:pt>
                <c:pt idx="17">
                  <c:v>3</c:v>
                </c:pt>
                <c:pt idx="18">
                  <c:v>0</c:v>
                </c:pt>
                <c:pt idx="19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31177504"/>
        <c:axId val="431179464"/>
      </c:barChart>
      <c:lineChart>
        <c:grouping val="standard"/>
        <c:varyColors val="0"/>
        <c:ser>
          <c:idx val="1"/>
          <c:order val="1"/>
          <c:tx>
            <c:strRef>
              <c:f>USA!$A$6</c:f>
              <c:strCache>
                <c:ptCount val="1"/>
                <c:pt idx="0">
                  <c:v>Hotel Bed - Nights Occupancy ( in '000)</c:v>
                </c:pt>
              </c:strCache>
            </c:strRef>
          </c:tx>
          <c:dLbls>
            <c:dLbl>
              <c:idx val="19"/>
              <c:layout>
                <c:manualLayout>
                  <c:x val="9.2961487383798145E-3"/>
                  <c:y val="6.145624582498332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trendlineType val="movingAvg"/>
            <c:period val="2"/>
            <c:dispRSqr val="0"/>
            <c:dispEq val="0"/>
          </c:trendline>
          <c:cat>
            <c:multiLvlStrRef>
              <c:f>USA!$B$2:$U$3</c:f>
              <c:multiLvlStrCache>
                <c:ptCount val="20"/>
                <c:lvl>
                  <c:pt idx="0">
                    <c:v>2010 (1)</c:v>
                  </c:pt>
                  <c:pt idx="1">
                    <c:v>2010 (2)</c:v>
                  </c:pt>
                  <c:pt idx="2">
                    <c:v>2010(3)</c:v>
                  </c:pt>
                  <c:pt idx="3">
                    <c:v>2010(4)</c:v>
                  </c:pt>
                  <c:pt idx="4">
                    <c:v>2011 (1)</c:v>
                  </c:pt>
                  <c:pt idx="5">
                    <c:v>2011 (2)</c:v>
                  </c:pt>
                  <c:pt idx="6">
                    <c:v>2011 (3)</c:v>
                  </c:pt>
                  <c:pt idx="7">
                    <c:v>2011 (4)</c:v>
                  </c:pt>
                  <c:pt idx="8">
                    <c:v>2012 (1)</c:v>
                  </c:pt>
                  <c:pt idx="9">
                    <c:v>2012 (2)</c:v>
                  </c:pt>
                  <c:pt idx="10">
                    <c:v>2012(3)</c:v>
                  </c:pt>
                  <c:pt idx="11">
                    <c:v>2012 (4)</c:v>
                  </c:pt>
                  <c:pt idx="12">
                    <c:v>2013 (1)</c:v>
                  </c:pt>
                  <c:pt idx="13">
                    <c:v>2013(2)</c:v>
                  </c:pt>
                  <c:pt idx="14">
                    <c:v>2013 (3)</c:v>
                  </c:pt>
                  <c:pt idx="15">
                    <c:v>2013 (4)</c:v>
                  </c:pt>
                  <c:pt idx="16">
                    <c:v>2014 (1)</c:v>
                  </c:pt>
                  <c:pt idx="17">
                    <c:v>2014(2)</c:v>
                  </c:pt>
                  <c:pt idx="18">
                    <c:v>2014(3)</c:v>
                  </c:pt>
                  <c:pt idx="19">
                    <c:v>2014(4)</c:v>
                  </c:pt>
                </c:lvl>
                <c:lvl>
                  <c:pt idx="0">
                    <c:v>YEARLY QUARTERS</c:v>
                  </c:pt>
                </c:lvl>
              </c:multiLvlStrCache>
            </c:multiLvlStrRef>
          </c:cat>
          <c:val>
            <c:numRef>
              <c:f>USA!$B$6:$U$6</c:f>
              <c:numCache>
                <c:formatCode>General</c:formatCode>
                <c:ptCount val="20"/>
                <c:pt idx="3">
                  <c:v>254</c:v>
                </c:pt>
                <c:pt idx="7">
                  <c:v>284</c:v>
                </c:pt>
                <c:pt idx="11">
                  <c:v>292</c:v>
                </c:pt>
                <c:pt idx="15">
                  <c:v>295</c:v>
                </c:pt>
                <c:pt idx="19">
                  <c:v>294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3079112"/>
        <c:axId val="283078720"/>
      </c:lineChart>
      <c:catAx>
        <c:axId val="431177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31179464"/>
        <c:crosses val="autoZero"/>
        <c:auto val="1"/>
        <c:lblAlgn val="ctr"/>
        <c:lblOffset val="100"/>
        <c:noMultiLvlLbl val="0"/>
      </c:catAx>
      <c:valAx>
        <c:axId val="431179464"/>
        <c:scaling>
          <c:orientation val="minMax"/>
          <c:max val="4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/>
                </a:pPr>
                <a:r>
                  <a:rPr lang="en-US" sz="1200"/>
                  <a:t>No. of issued Travel Advisories</a:t>
                </a:r>
              </a:p>
            </c:rich>
          </c:tx>
          <c:layout>
            <c:manualLayout>
              <c:xMode val="edge"/>
              <c:yMode val="edge"/>
              <c:x val="3.6143246420735826E-3"/>
              <c:y val="0.1055893874643874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31177504"/>
        <c:crosses val="autoZero"/>
        <c:crossBetween val="between"/>
        <c:majorUnit val="1"/>
        <c:minorUnit val="1"/>
      </c:valAx>
      <c:valAx>
        <c:axId val="283078720"/>
        <c:scaling>
          <c:orientation val="minMax"/>
        </c:scaling>
        <c:delete val="0"/>
        <c:axPos val="r"/>
        <c:title>
          <c:tx>
            <c:rich>
              <a:bodyPr rot="5400000" vert="horz"/>
              <a:lstStyle/>
              <a:p>
                <a:pPr>
                  <a:defRPr sz="1200"/>
                </a:pPr>
                <a:r>
                  <a:rPr lang="en-US" sz="1200"/>
                  <a:t>Hotel Bed-Nights Occupancy, (in '000) </a:t>
                </a:r>
              </a:p>
            </c:rich>
          </c:tx>
          <c:layout>
            <c:manualLayout>
              <c:xMode val="edge"/>
              <c:yMode val="edge"/>
              <c:x val="0.90920357263049478"/>
              <c:y val="9.4450274635092507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83079112"/>
        <c:crosses val="max"/>
        <c:crossBetween val="between"/>
      </c:valAx>
      <c:catAx>
        <c:axId val="283079112"/>
        <c:scaling>
          <c:orientation val="minMax"/>
        </c:scaling>
        <c:delete val="0"/>
        <c:axPos val="t"/>
        <c:numFmt formatCode="General" sourceLinked="1"/>
        <c:majorTickMark val="none"/>
        <c:minorTickMark val="none"/>
        <c:tickLblPos val="none"/>
        <c:crossAx val="283078720"/>
        <c:crosses val="max"/>
        <c:auto val="1"/>
        <c:lblAlgn val="ctr"/>
        <c:lblOffset val="100"/>
        <c:noMultiLvlLbl val="0"/>
      </c:catAx>
    </c:plotArea>
    <c:legend>
      <c:legendPos val="b"/>
      <c:legendEntry>
        <c:idx val="3"/>
        <c:delete val="1"/>
      </c:legendEntry>
      <c:layout>
        <c:manualLayout>
          <c:xMode val="edge"/>
          <c:yMode val="edge"/>
          <c:x val="2.6194170699214359E-2"/>
          <c:y val="0.95024810066476761"/>
          <c:w val="0.94639844820194252"/>
          <c:h val="4.8317737837881139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0.42331</cdr:x>
      <cdr:y>0.48096</cdr:y>
    </cdr:from>
    <cdr:to>
      <cdr:x>0.46713</cdr:x>
      <cdr:y>0.51904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48125" y="2286000"/>
          <a:ext cx="419100" cy="1809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0.31972</cdr:x>
      <cdr:y>0.64128</cdr:y>
    </cdr:from>
    <cdr:to>
      <cdr:x>0.42829</cdr:x>
      <cdr:y>0.66934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057525" y="3048000"/>
          <a:ext cx="1038225" cy="1333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0.42331</cdr:x>
      <cdr:y>0.48096</cdr:y>
    </cdr:from>
    <cdr:to>
      <cdr:x>0.46713</cdr:x>
      <cdr:y>0.51904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48125" y="2286000"/>
          <a:ext cx="419100" cy="1809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0.31972</cdr:x>
      <cdr:y>0.64128</cdr:y>
    </cdr:from>
    <cdr:to>
      <cdr:x>0.42829</cdr:x>
      <cdr:y>0.66934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057525" y="3048000"/>
          <a:ext cx="1038225" cy="1333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 Otieno</dc:creator>
  <cp:keywords/>
  <dc:description/>
  <cp:lastModifiedBy>Dorothy Otieno</cp:lastModifiedBy>
  <cp:revision>1</cp:revision>
  <dcterms:created xsi:type="dcterms:W3CDTF">2015-09-02T17:15:00Z</dcterms:created>
  <dcterms:modified xsi:type="dcterms:W3CDTF">2015-09-02T17:18:00Z</dcterms:modified>
</cp:coreProperties>
</file>